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AACFC" w14:textId="29C9D635" w:rsidR="00580997" w:rsidRPr="007357A7" w:rsidRDefault="00000000">
      <w:pPr>
        <w:pStyle w:val="Heading1"/>
        <w:rPr>
          <w:rFonts w:ascii="Arial Rounded MT Bold" w:hAnsi="Arial Rounded MT Bold"/>
        </w:rPr>
      </w:pPr>
      <w:r w:rsidRPr="007357A7">
        <w:rPr>
          <w:rFonts w:ascii="Arial Rounded MT Bold" w:hAnsi="Arial Rounded MT Bold"/>
        </w:rPr>
        <w:t>ASCC Blueprint 2025 — Implementation Results</w:t>
      </w:r>
    </w:p>
    <w:p w14:paraId="64197A49" w14:textId="77777777" w:rsidR="00580997" w:rsidRDefault="00580997">
      <w:pPr>
        <w:spacing w:before="160" w:after="80"/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69"/>
        <w:gridCol w:w="1004"/>
        <w:gridCol w:w="3467"/>
      </w:tblGrid>
      <w:tr w:rsidR="00580997" w14:paraId="3A2B6727" w14:textId="77777777">
        <w:trPr>
          <w:tblHeader/>
        </w:trPr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1A3E6E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0753EFA" w14:textId="77777777" w:rsidR="00580997" w:rsidRDefault="00000000">
            <w:r>
              <w:rPr>
                <w:b/>
                <w:bCs/>
                <w:color w:val="FFFFFF"/>
                <w:sz w:val="20"/>
                <w:szCs w:val="20"/>
              </w:rPr>
              <w:t>Measure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1A3E6E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CFDCB58" w14:textId="77777777" w:rsidR="00580997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Result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1A3E6E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F6ED698" w14:textId="77777777" w:rsidR="00580997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Coverage</w:t>
            </w:r>
          </w:p>
        </w:tc>
      </w:tr>
      <w:tr w:rsidR="00580997" w14:paraId="2E36CECC" w14:textId="77777777"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D6E8F5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E210628" w14:textId="77777777" w:rsidR="00580997" w:rsidRDefault="00000000">
            <w:r>
              <w:rPr>
                <w:color w:val="000000"/>
                <w:sz w:val="20"/>
                <w:szCs w:val="20"/>
              </w:rPr>
              <w:t>Strategic Measures addressed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D6E8F5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3F5EED8" w14:textId="77777777" w:rsidR="00580997" w:rsidRDefault="00000000">
            <w:pPr>
              <w:jc w:val="center"/>
            </w:pPr>
            <w:r>
              <w:rPr>
                <w:b/>
                <w:bCs/>
                <w:color w:val="1A3E6E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D6E8F5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CD8A4CB" w14:textId="77777777" w:rsidR="00580997" w:rsidRDefault="00000000">
            <w:pPr>
              <w:jc w:val="center"/>
            </w:pPr>
            <w:r>
              <w:rPr>
                <w:color w:val="333333"/>
                <w:sz w:val="20"/>
                <w:szCs w:val="20"/>
              </w:rPr>
              <w:t>All 109 measures</w:t>
            </w:r>
          </w:p>
        </w:tc>
      </w:tr>
      <w:tr w:rsidR="00580997" w14:paraId="3FEE2706" w14:textId="77777777"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7A833CA" w14:textId="77777777" w:rsidR="00580997" w:rsidRDefault="00000000">
            <w:r>
              <w:rPr>
                <w:color w:val="000000"/>
                <w:sz w:val="20"/>
                <w:szCs w:val="20"/>
              </w:rPr>
              <w:t>Sectoral work plan average implementation rate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AD79164" w14:textId="77777777" w:rsidR="00580997" w:rsidRDefault="00000000">
            <w:pPr>
              <w:jc w:val="center"/>
            </w:pPr>
            <w:r>
              <w:rPr>
                <w:b/>
                <w:bCs/>
                <w:color w:val="1A3E6E"/>
                <w:sz w:val="20"/>
                <w:szCs w:val="20"/>
              </w:rPr>
              <w:t>88%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AF18E56" w14:textId="77777777" w:rsidR="00580997" w:rsidRDefault="00000000">
            <w:pPr>
              <w:jc w:val="center"/>
            </w:pPr>
            <w:r>
              <w:rPr>
                <w:color w:val="333333"/>
                <w:sz w:val="20"/>
                <w:szCs w:val="20"/>
              </w:rPr>
              <w:t>All ASCC sectors</w:t>
            </w:r>
          </w:p>
        </w:tc>
      </w:tr>
      <w:tr w:rsidR="00580997" w14:paraId="6104E8DF" w14:textId="77777777"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D6E8F5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E5BEA59" w14:textId="77777777" w:rsidR="00580997" w:rsidRDefault="00000000">
            <w:r>
              <w:rPr>
                <w:color w:val="000000"/>
                <w:sz w:val="20"/>
                <w:szCs w:val="20"/>
              </w:rPr>
              <w:t>Declarations and statements with follow-up actions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D6E8F5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73A11A8" w14:textId="77777777" w:rsidR="00580997" w:rsidRDefault="00000000">
            <w:pPr>
              <w:jc w:val="center"/>
            </w:pPr>
            <w:r>
              <w:rPr>
                <w:b/>
                <w:bCs/>
                <w:color w:val="1A3E6E"/>
                <w:sz w:val="20"/>
                <w:szCs w:val="20"/>
              </w:rPr>
              <w:t>96%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D6E8F5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9C40BC9" w14:textId="77777777" w:rsidR="00580997" w:rsidRDefault="00000000">
            <w:pPr>
              <w:jc w:val="center"/>
            </w:pPr>
            <w:r>
              <w:rPr>
                <w:color w:val="333333"/>
                <w:sz w:val="20"/>
                <w:szCs w:val="20"/>
              </w:rPr>
              <w:t>Adopted declarations</w:t>
            </w:r>
          </w:p>
        </w:tc>
      </w:tr>
      <w:tr w:rsidR="00580997" w14:paraId="30F3EB82" w14:textId="77777777"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4669E76" w14:textId="77777777" w:rsidR="00580997" w:rsidRDefault="00000000">
            <w:r>
              <w:rPr>
                <w:color w:val="000000"/>
                <w:sz w:val="20"/>
                <w:szCs w:val="20"/>
              </w:rPr>
              <w:t>National and regional follow-up actions generated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FD9DA7A" w14:textId="77777777" w:rsidR="00580997" w:rsidRDefault="00000000">
            <w:pPr>
              <w:jc w:val="center"/>
            </w:pPr>
            <w:r>
              <w:rPr>
                <w:b/>
                <w:bCs/>
                <w:color w:val="1A3E6E"/>
                <w:sz w:val="20"/>
                <w:szCs w:val="20"/>
              </w:rPr>
              <w:t>3,752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39F4A59" w14:textId="77777777" w:rsidR="00580997" w:rsidRDefault="00000000">
            <w:pPr>
              <w:jc w:val="center"/>
            </w:pPr>
            <w:r>
              <w:rPr>
                <w:color w:val="333333"/>
                <w:sz w:val="20"/>
                <w:szCs w:val="20"/>
              </w:rPr>
              <w:t xml:space="preserve">Policies, </w:t>
            </w:r>
            <w:proofErr w:type="spellStart"/>
            <w:r>
              <w:rPr>
                <w:color w:val="333333"/>
                <w:sz w:val="20"/>
                <w:szCs w:val="20"/>
              </w:rPr>
              <w:t>programmes</w:t>
            </w:r>
            <w:proofErr w:type="spellEnd"/>
            <w:r>
              <w:rPr>
                <w:color w:val="333333"/>
                <w:sz w:val="20"/>
                <w:szCs w:val="20"/>
              </w:rPr>
              <w:t>, activities</w:t>
            </w:r>
          </w:p>
        </w:tc>
      </w:tr>
    </w:tbl>
    <w:p w14:paraId="189EB664" w14:textId="77777777" w:rsidR="00580997" w:rsidRDefault="00000000">
      <w:pPr>
        <w:spacing w:before="80" w:after="80"/>
      </w:pPr>
      <w:r>
        <w:rPr>
          <w:b/>
          <w:bCs/>
          <w:color w:val="555555"/>
          <w:sz w:val="18"/>
          <w:szCs w:val="18"/>
        </w:rPr>
        <w:t xml:space="preserve">Note: </w:t>
      </w:r>
      <w:r>
        <w:rPr>
          <w:i/>
          <w:iCs/>
          <w:color w:val="555555"/>
          <w:sz w:val="18"/>
          <w:szCs w:val="18"/>
        </w:rPr>
        <w:t>Strategic Measures include both completed and ongoing initiatives. Follow-up actions are generated from 96% of adopted declarations and statements and reflect implementation at national and regional levels across ASEAN Member States.</w:t>
      </w:r>
    </w:p>
    <w:p w14:paraId="1BC7DDD7" w14:textId="77777777" w:rsidR="00580997" w:rsidRPr="00417A39" w:rsidRDefault="00580997">
      <w:pPr>
        <w:spacing w:before="300"/>
        <w:rPr>
          <w:color w:val="0E2841" w:themeColor="text2"/>
        </w:rPr>
      </w:pPr>
    </w:p>
    <w:p w14:paraId="31E5B939" w14:textId="725D0BC9" w:rsidR="00417A39" w:rsidRPr="007357A7" w:rsidRDefault="00417A39" w:rsidP="00417A39">
      <w:pPr>
        <w:pStyle w:val="Heading1"/>
        <w:rPr>
          <w:rFonts w:ascii="Arial Rounded MT Bold" w:hAnsi="Arial Rounded MT Bold"/>
          <w:color w:val="0E2841" w:themeColor="text2"/>
        </w:rPr>
      </w:pPr>
      <w:r w:rsidRPr="007357A7">
        <w:rPr>
          <w:rFonts w:ascii="Arial Rounded MT Bold" w:hAnsi="Arial Rounded MT Bold"/>
          <w:color w:val="0E2841" w:themeColor="text2"/>
        </w:rPr>
        <w:t>Key A</w:t>
      </w:r>
      <w:r w:rsidRPr="007357A7">
        <w:rPr>
          <w:rFonts w:ascii="Arial Rounded MT Bold" w:hAnsi="Arial Rounded MT Bold"/>
          <w:color w:val="0E2841" w:themeColor="text2"/>
          <w:sz w:val="30"/>
          <w:szCs w:val="30"/>
        </w:rPr>
        <w:t>chievements</w:t>
      </w:r>
    </w:p>
    <w:tbl>
      <w:tblPr>
        <w:tblW w:w="9360" w:type="dxa"/>
        <w:tblBorders>
          <w:top w:val="single" w:sz="6" w:space="0" w:color="E1F5EE"/>
          <w:left w:val="single" w:sz="6" w:space="0" w:color="E1F5EE"/>
          <w:bottom w:val="single" w:sz="6" w:space="0" w:color="E1F5EE"/>
          <w:right w:val="single" w:sz="6" w:space="0" w:color="E1F5EE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417A39" w14:paraId="4C6F642E" w14:textId="77777777" w:rsidTr="003A0DFF"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1F5EE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6783F589" w14:textId="77777777" w:rsidR="00417A39" w:rsidRDefault="00417A39" w:rsidP="003A0DFF">
            <w:r>
              <w:rPr>
                <w:b/>
                <w:bCs/>
                <w:color w:val="085041"/>
              </w:rPr>
              <w:t>Building an ASEAN community for the people, with the people</w:t>
            </w:r>
          </w:p>
        </w:tc>
      </w:tr>
      <w:tr w:rsidR="00417A39" w14:paraId="3F40D510" w14:textId="77777777" w:rsidTr="003A0DFF">
        <w:tc>
          <w:tcPr>
            <w:tcW w:w="9360" w:type="dxa"/>
            <w:gridSpan w:val="2"/>
            <w:tcBorders>
              <w:top w:val="single" w:sz="4" w:space="0" w:color="E0E0E0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329A0" w14:textId="77777777" w:rsidR="00417A39" w:rsidRDefault="00417A39" w:rsidP="003A0DFF"/>
        </w:tc>
      </w:tr>
      <w:tr w:rsidR="00417A39" w14:paraId="70CA97BC" w14:textId="77777777" w:rsidTr="003A0DFF"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1F5EE"/>
            <w:tcMar>
              <w:top w:w="160" w:type="dxa"/>
              <w:left w:w="180" w:type="dxa"/>
              <w:bottom w:w="160" w:type="dxa"/>
              <w:right w:w="180" w:type="dxa"/>
            </w:tcMar>
          </w:tcPr>
          <w:p w14:paraId="353A9CE8" w14:textId="77777777" w:rsidR="00417A39" w:rsidRDefault="00417A39" w:rsidP="003A0DFF">
            <w:pPr>
              <w:spacing w:after="60"/>
            </w:pPr>
            <w:r>
              <w:rPr>
                <w:b/>
                <w:bCs/>
                <w:caps/>
                <w:color w:val="0F6E56"/>
                <w:sz w:val="16"/>
                <w:szCs w:val="16"/>
              </w:rPr>
              <w:t>Stakeholder engagement</w:t>
            </w:r>
          </w:p>
          <w:p w14:paraId="24A23ECF" w14:textId="77777777" w:rsidR="00417A39" w:rsidRDefault="00417A39" w:rsidP="003A0DFF">
            <w:proofErr w:type="spellStart"/>
            <w:r>
              <w:rPr>
                <w:color w:val="444444"/>
                <w:sz w:val="18"/>
                <w:szCs w:val="18"/>
              </w:rPr>
              <w:t>Institutionalised</w:t>
            </w:r>
            <w:proofErr w:type="spellEnd"/>
            <w:r>
              <w:rPr>
                <w:color w:val="444444"/>
                <w:sz w:val="18"/>
                <w:szCs w:val="18"/>
              </w:rPr>
              <w:t xml:space="preserve"> through hundreds of sectoral activities, with youth and community participation expanded across cultural, environmental, and social welfare initiatives.</w:t>
            </w:r>
          </w:p>
        </w:tc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1F5EE"/>
            <w:tcMar>
              <w:top w:w="160" w:type="dxa"/>
              <w:left w:w="180" w:type="dxa"/>
              <w:bottom w:w="160" w:type="dxa"/>
              <w:right w:w="180" w:type="dxa"/>
            </w:tcMar>
          </w:tcPr>
          <w:p w14:paraId="7F504C75" w14:textId="77777777" w:rsidR="00417A39" w:rsidRDefault="00417A39" w:rsidP="003A0DFF">
            <w:pPr>
              <w:spacing w:after="60"/>
            </w:pPr>
            <w:r>
              <w:rPr>
                <w:b/>
                <w:bCs/>
                <w:caps/>
                <w:color w:val="0F6E56"/>
                <w:sz w:val="16"/>
                <w:szCs w:val="16"/>
              </w:rPr>
              <w:t>Inclusive visibility</w:t>
            </w:r>
          </w:p>
          <w:p w14:paraId="46922CB9" w14:textId="77777777" w:rsidR="00417A39" w:rsidRDefault="00417A39" w:rsidP="003A0DFF">
            <w:r>
              <w:rPr>
                <w:color w:val="444444"/>
                <w:sz w:val="18"/>
                <w:szCs w:val="18"/>
              </w:rPr>
              <w:t xml:space="preserve">Women, persons with disabilities, and youth </w:t>
            </w:r>
            <w:proofErr w:type="spellStart"/>
            <w:r>
              <w:rPr>
                <w:color w:val="444444"/>
                <w:sz w:val="18"/>
                <w:szCs w:val="18"/>
              </w:rPr>
              <w:t>organisations</w:t>
            </w:r>
            <w:proofErr w:type="spellEnd"/>
            <w:r>
              <w:rPr>
                <w:color w:val="444444"/>
                <w:sz w:val="18"/>
                <w:szCs w:val="18"/>
              </w:rPr>
              <w:t xml:space="preserve"> gained greater visibility and opportunity through regional </w:t>
            </w:r>
            <w:proofErr w:type="spellStart"/>
            <w:r>
              <w:rPr>
                <w:color w:val="444444"/>
                <w:sz w:val="18"/>
                <w:szCs w:val="18"/>
              </w:rPr>
              <w:t>programmes</w:t>
            </w:r>
            <w:proofErr w:type="spellEnd"/>
            <w:r>
              <w:rPr>
                <w:color w:val="444444"/>
                <w:sz w:val="18"/>
                <w:szCs w:val="18"/>
              </w:rPr>
              <w:t xml:space="preserve"> in climate action, disaster management, and cultural exchange.</w:t>
            </w:r>
          </w:p>
        </w:tc>
      </w:tr>
    </w:tbl>
    <w:p w14:paraId="272C0208" w14:textId="77777777" w:rsidR="00417A39" w:rsidRDefault="00417A39" w:rsidP="00417A39">
      <w:pPr>
        <w:spacing w:after="200"/>
      </w:pPr>
    </w:p>
    <w:tbl>
      <w:tblPr>
        <w:tblW w:w="9360" w:type="dxa"/>
        <w:tblBorders>
          <w:top w:val="single" w:sz="6" w:space="0" w:color="EEEDFE"/>
          <w:left w:val="single" w:sz="6" w:space="0" w:color="EEEDFE"/>
          <w:bottom w:val="single" w:sz="6" w:space="0" w:color="EEEDFE"/>
          <w:right w:val="single" w:sz="6" w:space="0" w:color="EEEDFE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417A39" w14:paraId="1A2F5615" w14:textId="77777777" w:rsidTr="003A0DFF"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EEDFE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3F617E19" w14:textId="77777777" w:rsidR="00417A39" w:rsidRDefault="00417A39" w:rsidP="003A0DFF">
            <w:r>
              <w:rPr>
                <w:b/>
                <w:bCs/>
                <w:color w:val="3C3489"/>
              </w:rPr>
              <w:t>Reducing barriers, empowering the people</w:t>
            </w:r>
          </w:p>
        </w:tc>
      </w:tr>
      <w:tr w:rsidR="00417A39" w14:paraId="77B98112" w14:textId="77777777" w:rsidTr="003A0DFF">
        <w:tc>
          <w:tcPr>
            <w:tcW w:w="9360" w:type="dxa"/>
            <w:gridSpan w:val="2"/>
            <w:tcBorders>
              <w:top w:val="single" w:sz="4" w:space="0" w:color="E0E0E0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624AB" w14:textId="77777777" w:rsidR="00417A39" w:rsidRDefault="00417A39" w:rsidP="003A0DFF"/>
        </w:tc>
      </w:tr>
      <w:tr w:rsidR="00417A39" w14:paraId="4D82760F" w14:textId="77777777" w:rsidTr="003A0DFF"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EEDFE"/>
            <w:tcMar>
              <w:top w:w="160" w:type="dxa"/>
              <w:left w:w="180" w:type="dxa"/>
              <w:bottom w:w="160" w:type="dxa"/>
              <w:right w:w="180" w:type="dxa"/>
            </w:tcMar>
          </w:tcPr>
          <w:p w14:paraId="22997E49" w14:textId="77777777" w:rsidR="00417A39" w:rsidRDefault="00417A39" w:rsidP="003A0DFF">
            <w:pPr>
              <w:spacing w:after="60"/>
            </w:pPr>
            <w:r>
              <w:rPr>
                <w:b/>
                <w:bCs/>
                <w:caps/>
                <w:color w:val="534AB7"/>
                <w:sz w:val="16"/>
                <w:szCs w:val="16"/>
              </w:rPr>
              <w:t>Equitable access</w:t>
            </w:r>
          </w:p>
          <w:p w14:paraId="758E7BFA" w14:textId="272A6291" w:rsidR="00417A39" w:rsidRDefault="00417A39" w:rsidP="003A0DFF">
            <w:r>
              <w:rPr>
                <w:color w:val="444444"/>
                <w:sz w:val="18"/>
                <w:szCs w:val="18"/>
              </w:rPr>
              <w:t xml:space="preserve">Advances made in health services, social protection, and </w:t>
            </w:r>
            <w:proofErr w:type="spellStart"/>
            <w:r>
              <w:rPr>
                <w:color w:val="444444"/>
                <w:sz w:val="18"/>
                <w:szCs w:val="18"/>
              </w:rPr>
              <w:t>labour</w:t>
            </w:r>
            <w:proofErr w:type="spellEnd"/>
            <w:r>
              <w:rPr>
                <w:color w:val="444444"/>
                <w:sz w:val="18"/>
                <w:szCs w:val="18"/>
              </w:rPr>
              <w:t xml:space="preserve"> rights with gender equality embedded as a cross-cutting theme.</w:t>
            </w:r>
          </w:p>
        </w:tc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EEDFE"/>
            <w:tcMar>
              <w:top w:w="160" w:type="dxa"/>
              <w:left w:w="180" w:type="dxa"/>
              <w:bottom w:w="160" w:type="dxa"/>
              <w:right w:w="180" w:type="dxa"/>
            </w:tcMar>
          </w:tcPr>
          <w:p w14:paraId="76370E44" w14:textId="77777777" w:rsidR="00417A39" w:rsidRDefault="00417A39" w:rsidP="003A0DFF">
            <w:pPr>
              <w:spacing w:after="60"/>
            </w:pPr>
            <w:r>
              <w:rPr>
                <w:b/>
                <w:bCs/>
                <w:caps/>
                <w:color w:val="534AB7"/>
                <w:sz w:val="16"/>
                <w:szCs w:val="16"/>
              </w:rPr>
              <w:t>National translation</w:t>
            </w:r>
          </w:p>
          <w:p w14:paraId="392B4F00" w14:textId="77777777" w:rsidR="00417A39" w:rsidRDefault="00417A39" w:rsidP="003A0DFF">
            <w:r>
              <w:rPr>
                <w:color w:val="444444"/>
                <w:sz w:val="18"/>
                <w:szCs w:val="18"/>
              </w:rPr>
              <w:t xml:space="preserve">Regional frameworks on disability inclusion, women's empowerment, and child protection concretely translated into national policies and </w:t>
            </w:r>
            <w:proofErr w:type="spellStart"/>
            <w:r>
              <w:rPr>
                <w:color w:val="444444"/>
                <w:sz w:val="18"/>
                <w:szCs w:val="18"/>
              </w:rPr>
              <w:t>programmes</w:t>
            </w:r>
            <w:proofErr w:type="spellEnd"/>
            <w:r>
              <w:rPr>
                <w:color w:val="444444"/>
                <w:sz w:val="18"/>
                <w:szCs w:val="18"/>
              </w:rPr>
              <w:t>, with hundreds of follow-up actions recorded.</w:t>
            </w:r>
          </w:p>
        </w:tc>
      </w:tr>
    </w:tbl>
    <w:p w14:paraId="20F80D18" w14:textId="77777777" w:rsidR="00417A39" w:rsidRDefault="00417A39" w:rsidP="00417A39">
      <w:pPr>
        <w:spacing w:after="200"/>
      </w:pPr>
    </w:p>
    <w:tbl>
      <w:tblPr>
        <w:tblW w:w="9360" w:type="dxa"/>
        <w:tblBorders>
          <w:top w:val="single" w:sz="6" w:space="0" w:color="FAEEDA"/>
          <w:left w:val="single" w:sz="6" w:space="0" w:color="FAEEDA"/>
          <w:bottom w:val="single" w:sz="6" w:space="0" w:color="FAEEDA"/>
          <w:right w:val="single" w:sz="6" w:space="0" w:color="FAEED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417A39" w14:paraId="3DF40B0D" w14:textId="77777777" w:rsidTr="003A0DFF"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AEEDA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1657B629" w14:textId="77777777" w:rsidR="00417A39" w:rsidRDefault="00417A39" w:rsidP="003A0DFF">
            <w:r>
              <w:rPr>
                <w:b/>
                <w:bCs/>
                <w:color w:val="633806"/>
              </w:rPr>
              <w:t>Driving dynamism, resilience, and sustainability</w:t>
            </w:r>
          </w:p>
        </w:tc>
      </w:tr>
      <w:tr w:rsidR="00417A39" w14:paraId="27104A4A" w14:textId="77777777" w:rsidTr="003A0DFF">
        <w:tc>
          <w:tcPr>
            <w:tcW w:w="9360" w:type="dxa"/>
            <w:gridSpan w:val="2"/>
            <w:tcBorders>
              <w:top w:val="single" w:sz="4" w:space="0" w:color="E0E0E0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8C87D" w14:textId="77777777" w:rsidR="00417A39" w:rsidRDefault="00417A39" w:rsidP="003A0DFF"/>
        </w:tc>
      </w:tr>
      <w:tr w:rsidR="00417A39" w14:paraId="0B6122FB" w14:textId="77777777" w:rsidTr="003A0DFF"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AEEDA"/>
            <w:tcMar>
              <w:top w:w="160" w:type="dxa"/>
              <w:left w:w="180" w:type="dxa"/>
              <w:bottom w:w="160" w:type="dxa"/>
              <w:right w:w="180" w:type="dxa"/>
            </w:tcMar>
          </w:tcPr>
          <w:p w14:paraId="36FEBB6C" w14:textId="77777777" w:rsidR="00417A39" w:rsidRDefault="00417A39" w:rsidP="003A0DFF">
            <w:pPr>
              <w:spacing w:after="60"/>
            </w:pPr>
            <w:r>
              <w:rPr>
                <w:b/>
                <w:bCs/>
                <w:caps/>
                <w:color w:val="854F0B"/>
                <w:sz w:val="16"/>
                <w:szCs w:val="16"/>
              </w:rPr>
              <w:t>Disaster and climate action</w:t>
            </w:r>
          </w:p>
          <w:p w14:paraId="6568DD19" w14:textId="77777777" w:rsidR="00417A39" w:rsidRDefault="00417A39" w:rsidP="003A0DFF">
            <w:r>
              <w:rPr>
                <w:color w:val="444444"/>
                <w:sz w:val="18"/>
                <w:szCs w:val="18"/>
              </w:rPr>
              <w:t>Strengthened disaster preparedness and response through the AHA Centre and regional emergency mechanisms, while advancing climate adaptation, biodiversity conservation, and transboundary haze management.</w:t>
            </w:r>
          </w:p>
        </w:tc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AEEDA"/>
            <w:tcMar>
              <w:top w:w="160" w:type="dxa"/>
              <w:left w:w="180" w:type="dxa"/>
              <w:bottom w:w="160" w:type="dxa"/>
              <w:right w:w="180" w:type="dxa"/>
            </w:tcMar>
          </w:tcPr>
          <w:p w14:paraId="02F6F123" w14:textId="77777777" w:rsidR="00417A39" w:rsidRDefault="00417A39" w:rsidP="003A0DFF">
            <w:pPr>
              <w:spacing w:after="60"/>
            </w:pPr>
            <w:r>
              <w:rPr>
                <w:b/>
                <w:bCs/>
                <w:caps/>
                <w:color w:val="854F0B"/>
                <w:sz w:val="16"/>
                <w:szCs w:val="16"/>
              </w:rPr>
              <w:t>Pandemic resilience</w:t>
            </w:r>
          </w:p>
          <w:p w14:paraId="568D7227" w14:textId="18BA9477" w:rsidR="00417A39" w:rsidRDefault="00417A39" w:rsidP="003A0DFF">
            <w:r>
              <w:rPr>
                <w:color w:val="444444"/>
                <w:sz w:val="18"/>
                <w:szCs w:val="18"/>
              </w:rPr>
              <w:t xml:space="preserve">COVID-19 reinforced regional cooperation and accelerated digital transformation in health, </w:t>
            </w:r>
            <w:proofErr w:type="spellStart"/>
            <w:r>
              <w:rPr>
                <w:color w:val="444444"/>
                <w:sz w:val="18"/>
                <w:szCs w:val="18"/>
              </w:rPr>
              <w:t>labour</w:t>
            </w:r>
            <w:proofErr w:type="spellEnd"/>
            <w:r>
              <w:rPr>
                <w:color w:val="444444"/>
                <w:sz w:val="18"/>
                <w:szCs w:val="18"/>
              </w:rPr>
              <w:t>, and education, demonstrating ASEAN's capacity to leverage existing frameworks in times of crisis.</w:t>
            </w:r>
          </w:p>
        </w:tc>
      </w:tr>
    </w:tbl>
    <w:p w14:paraId="2887B560" w14:textId="77777777" w:rsidR="00417A39" w:rsidRDefault="00417A39" w:rsidP="00417A39">
      <w:pPr>
        <w:spacing w:after="300"/>
      </w:pPr>
    </w:p>
    <w:p w14:paraId="40BEE149" w14:textId="0E32AB73" w:rsidR="00417A39" w:rsidRPr="007357A7" w:rsidRDefault="00417A39">
      <w:pPr>
        <w:pStyle w:val="Heading1"/>
        <w:rPr>
          <w:rFonts w:ascii="Arial Rounded MT Bold" w:hAnsi="Arial Rounded MT Bold"/>
        </w:rPr>
      </w:pPr>
      <w:r w:rsidRPr="007357A7">
        <w:rPr>
          <w:rFonts w:ascii="Arial Rounded MT Bold" w:hAnsi="Arial Rounded MT Bold"/>
          <w:color w:val="0E2841" w:themeColor="text2"/>
        </w:rPr>
        <w:lastRenderedPageBreak/>
        <w:t>Measurable Outcomes</w:t>
      </w:r>
    </w:p>
    <w:p w14:paraId="5D964DD5" w14:textId="13D3D5D4" w:rsidR="00580997" w:rsidRDefault="00000000">
      <w:pPr>
        <w:pStyle w:val="Heading1"/>
      </w:pPr>
      <w:proofErr w:type="spellStart"/>
      <w:r>
        <w:t>Labour</w:t>
      </w:r>
      <w:proofErr w:type="spellEnd"/>
    </w:p>
    <w:p w14:paraId="6A34BE37" w14:textId="77777777" w:rsidR="00580997" w:rsidRDefault="00580997">
      <w:pPr>
        <w:pBdr>
          <w:bottom w:val="single" w:sz="8" w:space="1" w:color="854F0B"/>
        </w:pBdr>
        <w:spacing w:before="160" w:after="160"/>
      </w:pPr>
    </w:p>
    <w:p w14:paraId="04723C05" w14:textId="77777777" w:rsidR="00580997" w:rsidRDefault="00000000">
      <w:pPr>
        <w:spacing w:before="60" w:after="100"/>
      </w:pPr>
      <w:r>
        <w:t xml:space="preserve">ASEAN </w:t>
      </w:r>
      <w:proofErr w:type="spellStart"/>
      <w:r>
        <w:t>labour</w:t>
      </w:r>
      <w:proofErr w:type="spellEnd"/>
      <w:r>
        <w:t xml:space="preserve"> markets have shown steady improvement across the blueprint period, with the unemployment rate declining and </w:t>
      </w:r>
      <w:proofErr w:type="spellStart"/>
      <w:r>
        <w:t>labour</w:t>
      </w:r>
      <w:proofErr w:type="spellEnd"/>
      <w:r>
        <w:t xml:space="preserve"> force participation edging upward.</w:t>
      </w:r>
    </w:p>
    <w:p w14:paraId="2D753ED8" w14:textId="77777777" w:rsidR="00580997" w:rsidRDefault="00580997">
      <w:pPr>
        <w:spacing w:before="120" w:after="80"/>
      </w:pPr>
    </w:p>
    <w:tbl>
      <w:tblPr>
        <w:tblW w:w="8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6"/>
        <w:gridCol w:w="1129"/>
        <w:gridCol w:w="1129"/>
        <w:gridCol w:w="1480"/>
      </w:tblGrid>
      <w:tr w:rsidR="00F835B5" w14:paraId="23308584" w14:textId="77777777" w:rsidTr="00F835B5">
        <w:trPr>
          <w:tblHeader/>
        </w:trPr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854F0B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5F8B2B3" w14:textId="77777777" w:rsidR="00F835B5" w:rsidRDefault="00F835B5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Indicator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854F0B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0EC226B" w14:textId="77777777" w:rsidR="00F835B5" w:rsidRDefault="00F835B5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2016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854F0B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DF12ED9" w14:textId="77777777" w:rsidR="00F835B5" w:rsidRDefault="00F835B5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2024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854F0B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AF71012" w14:textId="77777777" w:rsidR="00F835B5" w:rsidRDefault="00F835B5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Change</w:t>
            </w:r>
          </w:p>
        </w:tc>
      </w:tr>
      <w:tr w:rsidR="00F835B5" w14:paraId="12C65C69" w14:textId="77777777" w:rsidTr="00F835B5"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77EDFEA" w14:textId="77777777" w:rsidR="00F835B5" w:rsidRDefault="00F835B5">
            <w:r>
              <w:rPr>
                <w:color w:val="000000"/>
                <w:sz w:val="20"/>
                <w:szCs w:val="20"/>
              </w:rPr>
              <w:t>Unemployment rate (%)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960C801" w14:textId="77777777" w:rsidR="00F835B5" w:rsidRDefault="00F835B5">
            <w:pPr>
              <w:jc w:val="center"/>
            </w:pPr>
            <w:r>
              <w:rPr>
                <w:color w:val="000000"/>
                <w:sz w:val="20"/>
                <w:szCs w:val="20"/>
              </w:rPr>
              <w:t>4.1%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0E5D0D1" w14:textId="77777777" w:rsidR="00F835B5" w:rsidRDefault="00F835B5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3.4%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3371250" w14:textId="77777777" w:rsidR="00F835B5" w:rsidRDefault="00F835B5">
            <w:pPr>
              <w:jc w:val="center"/>
            </w:pPr>
            <w:r>
              <w:rPr>
                <w:b/>
                <w:bCs/>
                <w:color w:val="0F6E56"/>
                <w:sz w:val="20"/>
                <w:szCs w:val="20"/>
              </w:rPr>
              <w:t>▼ 0.7 pp</w:t>
            </w:r>
          </w:p>
        </w:tc>
      </w:tr>
      <w:tr w:rsidR="00F835B5" w14:paraId="431425B0" w14:textId="77777777" w:rsidTr="00F835B5"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ED3D759" w14:textId="77777777" w:rsidR="00F835B5" w:rsidRDefault="00F835B5">
            <w:proofErr w:type="spellStart"/>
            <w:r>
              <w:rPr>
                <w:color w:val="000000"/>
                <w:sz w:val="20"/>
                <w:szCs w:val="20"/>
              </w:rPr>
              <w:t>Labour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force participation rate (%)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FF95BCD" w14:textId="77777777" w:rsidR="00F835B5" w:rsidRDefault="00F835B5">
            <w:pPr>
              <w:jc w:val="center"/>
            </w:pPr>
            <w:r>
              <w:rPr>
                <w:color w:val="000000"/>
                <w:sz w:val="20"/>
                <w:szCs w:val="20"/>
              </w:rPr>
              <w:t>68.2%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C43CBF3" w14:textId="77777777" w:rsidR="00F835B5" w:rsidRDefault="00F835B5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68.4%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A37A078" w14:textId="77777777" w:rsidR="00F835B5" w:rsidRDefault="00F835B5">
            <w:pPr>
              <w:jc w:val="center"/>
            </w:pPr>
            <w:r>
              <w:rPr>
                <w:b/>
                <w:bCs/>
                <w:color w:val="1A3E6E"/>
                <w:sz w:val="20"/>
                <w:szCs w:val="20"/>
              </w:rPr>
              <w:t>▲ 0.2 pp</w:t>
            </w:r>
          </w:p>
        </w:tc>
      </w:tr>
    </w:tbl>
    <w:p w14:paraId="76F6A1C8" w14:textId="77777777" w:rsidR="00580997" w:rsidRDefault="00580997">
      <w:pPr>
        <w:spacing w:before="300"/>
      </w:pPr>
    </w:p>
    <w:p w14:paraId="6EA9757B" w14:textId="1E566A90" w:rsidR="00580997" w:rsidRDefault="00000000">
      <w:pPr>
        <w:pStyle w:val="Heading1"/>
      </w:pPr>
      <w:r>
        <w:t>Health</w:t>
      </w:r>
    </w:p>
    <w:p w14:paraId="760CEB63" w14:textId="77777777" w:rsidR="00580997" w:rsidRDefault="00580997">
      <w:pPr>
        <w:pBdr>
          <w:bottom w:val="single" w:sz="8" w:space="1" w:color="0F6E56"/>
        </w:pBdr>
        <w:spacing w:before="160" w:after="160"/>
      </w:pPr>
    </w:p>
    <w:p w14:paraId="68AF30F8" w14:textId="77777777" w:rsidR="00580997" w:rsidRDefault="00000000">
      <w:pPr>
        <w:spacing w:before="60" w:after="100"/>
      </w:pPr>
      <w:r>
        <w:t>Significant progress has been observed in health outcomes across ASEAN, with infant mortality falling sharply and life expectancy rising over the period.</w:t>
      </w:r>
    </w:p>
    <w:p w14:paraId="23F68B9D" w14:textId="77777777" w:rsidR="00580997" w:rsidRDefault="00580997">
      <w:pPr>
        <w:spacing w:before="120" w:after="80"/>
      </w:pPr>
    </w:p>
    <w:tbl>
      <w:tblPr>
        <w:tblW w:w="8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3"/>
        <w:gridCol w:w="1195"/>
        <w:gridCol w:w="943"/>
        <w:gridCol w:w="2060"/>
      </w:tblGrid>
      <w:tr w:rsidR="00F835B5" w14:paraId="09DEBB66" w14:textId="77777777" w:rsidTr="00F835B5">
        <w:trPr>
          <w:tblHeader/>
        </w:trPr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0F6E56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456C0A1" w14:textId="77777777" w:rsidR="00F835B5" w:rsidRDefault="00F835B5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Indicator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0F6E56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F28BBFA" w14:textId="77777777" w:rsidR="00F835B5" w:rsidRDefault="00F835B5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Baseline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0F6E56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8C03757" w14:textId="77777777" w:rsidR="00F835B5" w:rsidRDefault="00F835B5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Latest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0F6E56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F5563B3" w14:textId="77777777" w:rsidR="00F835B5" w:rsidRDefault="00F835B5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Change</w:t>
            </w:r>
          </w:p>
        </w:tc>
      </w:tr>
      <w:tr w:rsidR="00F835B5" w14:paraId="51E55C55" w14:textId="77777777" w:rsidTr="00F835B5"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0C7E4CA" w14:textId="77777777" w:rsidR="00F835B5" w:rsidRDefault="00F835B5">
            <w:r>
              <w:rPr>
                <w:color w:val="000000"/>
                <w:sz w:val="20"/>
                <w:szCs w:val="20"/>
              </w:rPr>
              <w:t>Infant mortality rate (per 1,000 live births)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FA0DDB7" w14:textId="77777777" w:rsidR="00F835B5" w:rsidRDefault="00F835B5">
            <w:pPr>
              <w:jc w:val="center"/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966A87E" w14:textId="77777777" w:rsidR="00F835B5" w:rsidRDefault="00F835B5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16.4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3C39986" w14:textId="77777777" w:rsidR="00F835B5" w:rsidRDefault="00F835B5">
            <w:pPr>
              <w:jc w:val="center"/>
            </w:pPr>
            <w:r>
              <w:rPr>
                <w:b/>
                <w:bCs/>
                <w:color w:val="0F6E56"/>
                <w:sz w:val="20"/>
                <w:szCs w:val="20"/>
              </w:rPr>
              <w:t>▼ 47% reduction</w:t>
            </w:r>
          </w:p>
        </w:tc>
      </w:tr>
      <w:tr w:rsidR="00F835B5" w14:paraId="02CD5F88" w14:textId="77777777" w:rsidTr="00F835B5"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713FAA0" w14:textId="77777777" w:rsidR="00F835B5" w:rsidRDefault="00F835B5">
            <w:r>
              <w:rPr>
                <w:color w:val="000000"/>
                <w:sz w:val="20"/>
                <w:szCs w:val="20"/>
              </w:rPr>
              <w:t>Life expectancy (years)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482AC7D" w14:textId="77777777" w:rsidR="00F835B5" w:rsidRDefault="00F835B5">
            <w:pPr>
              <w:jc w:val="center"/>
            </w:pPr>
            <w:r>
              <w:rPr>
                <w:color w:val="000000"/>
                <w:sz w:val="20"/>
                <w:szCs w:val="20"/>
              </w:rPr>
              <w:t>72.1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41FDB27" w14:textId="77777777" w:rsidR="00F835B5" w:rsidRDefault="00F835B5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73.2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BE7B310" w14:textId="77777777" w:rsidR="00F835B5" w:rsidRDefault="00F835B5">
            <w:pPr>
              <w:jc w:val="center"/>
            </w:pPr>
            <w:r>
              <w:rPr>
                <w:b/>
                <w:bCs/>
                <w:color w:val="0F6E56"/>
                <w:sz w:val="20"/>
                <w:szCs w:val="20"/>
              </w:rPr>
              <w:t>▲ 1.1 years</w:t>
            </w:r>
          </w:p>
        </w:tc>
      </w:tr>
    </w:tbl>
    <w:p w14:paraId="1BD69B7B" w14:textId="7C5A6800" w:rsidR="00580997" w:rsidRDefault="00000000">
      <w:pPr>
        <w:spacing w:before="80" w:after="80"/>
      </w:pPr>
      <w:r>
        <w:rPr>
          <w:b/>
          <w:bCs/>
          <w:color w:val="555555"/>
          <w:sz w:val="18"/>
          <w:szCs w:val="18"/>
        </w:rPr>
        <w:t xml:space="preserve">Note: </w:t>
      </w:r>
      <w:r>
        <w:rPr>
          <w:i/>
          <w:iCs/>
          <w:color w:val="555555"/>
          <w:sz w:val="18"/>
          <w:szCs w:val="18"/>
        </w:rPr>
        <w:t xml:space="preserve">Life expectancy baseline is 2020, the earliest comparable year available. </w:t>
      </w:r>
    </w:p>
    <w:p w14:paraId="13178492" w14:textId="77777777" w:rsidR="00580997" w:rsidRDefault="00580997">
      <w:pPr>
        <w:spacing w:before="300"/>
      </w:pPr>
    </w:p>
    <w:p w14:paraId="08459914" w14:textId="201BDFA3" w:rsidR="00580997" w:rsidRDefault="00000000">
      <w:pPr>
        <w:pStyle w:val="Heading1"/>
      </w:pPr>
      <w:r>
        <w:t>Social Protection</w:t>
      </w:r>
    </w:p>
    <w:p w14:paraId="710E450B" w14:textId="77777777" w:rsidR="00580997" w:rsidRDefault="00580997">
      <w:pPr>
        <w:pBdr>
          <w:bottom w:val="single" w:sz="8" w:space="1" w:color="3C3489"/>
        </w:pBdr>
        <w:spacing w:before="160" w:after="160"/>
      </w:pPr>
    </w:p>
    <w:p w14:paraId="4B7B9A5A" w14:textId="77777777" w:rsidR="00580997" w:rsidRDefault="00000000">
      <w:pPr>
        <w:spacing w:before="60" w:after="100"/>
      </w:pPr>
      <w:r>
        <w:t>The ASEAN Sustainable Development Goal Indicators Progress Report 2025 records a meaningful reduction in the proportion of the population living below the national poverty line, reflecting the impact of sustained social protection efforts across Member States.</w:t>
      </w:r>
    </w:p>
    <w:p w14:paraId="5FDD4323" w14:textId="77777777" w:rsidR="00580997" w:rsidRDefault="00580997">
      <w:pPr>
        <w:spacing w:before="120" w:after="80"/>
      </w:pPr>
    </w:p>
    <w:tbl>
      <w:tblPr>
        <w:tblW w:w="8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5"/>
        <w:gridCol w:w="1028"/>
        <w:gridCol w:w="1055"/>
        <w:gridCol w:w="1348"/>
      </w:tblGrid>
      <w:tr w:rsidR="00F835B5" w14:paraId="10B56282" w14:textId="77777777" w:rsidTr="00F835B5">
        <w:trPr>
          <w:tblHeader/>
        </w:trPr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3C3489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6658AC1" w14:textId="77777777" w:rsidR="00F835B5" w:rsidRDefault="00F835B5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Indicator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3C3489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088DD50" w14:textId="77777777" w:rsidR="00F835B5" w:rsidRDefault="00F835B5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2016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3C3489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D9F1FAD" w14:textId="77777777" w:rsidR="00F835B5" w:rsidRDefault="00F835B5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Latest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3C3489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7D7E692" w14:textId="77777777" w:rsidR="00F835B5" w:rsidRDefault="00F835B5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Change</w:t>
            </w:r>
          </w:p>
        </w:tc>
      </w:tr>
      <w:tr w:rsidR="00F835B5" w14:paraId="2F5BAB0B" w14:textId="77777777" w:rsidTr="00F835B5"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990C52F" w14:textId="77777777" w:rsidR="00F835B5" w:rsidRDefault="00F835B5">
            <w:r>
              <w:rPr>
                <w:color w:val="000000"/>
                <w:sz w:val="20"/>
                <w:szCs w:val="20"/>
              </w:rPr>
              <w:t>Population below national poverty line (%)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1E95924" w14:textId="77777777" w:rsidR="00F835B5" w:rsidRDefault="00F835B5">
            <w:pPr>
              <w:jc w:val="center"/>
            </w:pPr>
            <w:r>
              <w:rPr>
                <w:color w:val="000000"/>
                <w:sz w:val="20"/>
                <w:szCs w:val="20"/>
              </w:rPr>
              <w:t>13.3%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00D9557" w14:textId="77777777" w:rsidR="00F835B5" w:rsidRDefault="00F835B5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10.8%</w:t>
            </w:r>
          </w:p>
        </w:tc>
        <w:tc>
          <w:tcPr>
            <w:tcW w:w="0" w:type="auto"/>
            <w:tcBorders>
              <w:top w:val="single" w:sz="1" w:space="0" w:color="C8D8E8"/>
              <w:left w:val="single" w:sz="1" w:space="0" w:color="C8D8E8"/>
              <w:bottom w:val="single" w:sz="1" w:space="0" w:color="C8D8E8"/>
              <w:right w:val="single" w:sz="1" w:space="0" w:color="C8D8E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9410B4F" w14:textId="77777777" w:rsidR="00F835B5" w:rsidRDefault="00F835B5">
            <w:pPr>
              <w:jc w:val="center"/>
            </w:pPr>
            <w:r>
              <w:rPr>
                <w:b/>
                <w:bCs/>
                <w:color w:val="3C3489"/>
                <w:sz w:val="20"/>
                <w:szCs w:val="20"/>
              </w:rPr>
              <w:t>▼ 2.5 pp</w:t>
            </w:r>
          </w:p>
        </w:tc>
      </w:tr>
    </w:tbl>
    <w:p w14:paraId="6ABD9A90" w14:textId="77777777" w:rsidR="00580997" w:rsidRDefault="00000000">
      <w:pPr>
        <w:spacing w:before="80" w:after="80"/>
      </w:pPr>
      <w:r>
        <w:rPr>
          <w:b/>
          <w:bCs/>
          <w:color w:val="555555"/>
          <w:sz w:val="18"/>
          <w:szCs w:val="18"/>
        </w:rPr>
        <w:t xml:space="preserve">Note: </w:t>
      </w:r>
      <w:r>
        <w:rPr>
          <w:i/>
          <w:iCs/>
          <w:color w:val="555555"/>
          <w:sz w:val="18"/>
          <w:szCs w:val="18"/>
        </w:rPr>
        <w:t>Poverty data refers to 2023, the latest year available in the ASEAN SDG Indicators Progress Report 2025.</w:t>
      </w:r>
    </w:p>
    <w:p w14:paraId="2BFD1510" w14:textId="77777777" w:rsidR="00580997" w:rsidRDefault="00000000">
      <w:pPr>
        <w:pBdr>
          <w:top w:val="single" w:sz="4" w:space="4" w:color="CCCCCC"/>
        </w:pBdr>
        <w:spacing w:before="400" w:after="80"/>
      </w:pPr>
      <w:r>
        <w:rPr>
          <w:b/>
          <w:bCs/>
          <w:color w:val="444444"/>
          <w:sz w:val="20"/>
          <w:szCs w:val="20"/>
        </w:rPr>
        <w:t>Sources</w:t>
      </w:r>
    </w:p>
    <w:p w14:paraId="271DC441" w14:textId="77777777" w:rsidR="00580997" w:rsidRDefault="00000000">
      <w:pPr>
        <w:spacing w:before="40" w:after="40"/>
      </w:pPr>
      <w:r>
        <w:rPr>
          <w:i/>
          <w:iCs/>
          <w:color w:val="555555"/>
          <w:sz w:val="18"/>
          <w:szCs w:val="18"/>
        </w:rPr>
        <w:t>ASEAN Secretariat. (2025). ASCC Blueprint 2025 End-Term Review.</w:t>
      </w:r>
    </w:p>
    <w:p w14:paraId="3BFEC95B" w14:textId="77777777" w:rsidR="00580997" w:rsidRDefault="00000000">
      <w:pPr>
        <w:spacing w:before="40" w:after="40"/>
      </w:pPr>
      <w:r>
        <w:rPr>
          <w:i/>
          <w:iCs/>
          <w:color w:val="555555"/>
          <w:sz w:val="18"/>
          <w:szCs w:val="18"/>
        </w:rPr>
        <w:lastRenderedPageBreak/>
        <w:t>ASEAN Secretariat. (2025). ASEAN Sustainable Development Goal Indicators Progress Report 2025.</w:t>
      </w:r>
    </w:p>
    <w:sectPr w:rsidR="00580997">
      <w:pgSz w:w="12240" w:h="15840"/>
      <w:pgMar w:top="1200" w:right="1200" w:bottom="1200" w:left="12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Rounded MT Bold">
    <w:panose1 w:val="020F0704030504030204"/>
    <w:charset w:val="4D"/>
    <w:family w:val="swiss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050101"/>
    <w:multiLevelType w:val="hybridMultilevel"/>
    <w:tmpl w:val="56B2870C"/>
    <w:lvl w:ilvl="0" w:tplc="5D5ADC10">
      <w:start w:val="1"/>
      <w:numFmt w:val="bullet"/>
      <w:lvlText w:val="●"/>
      <w:lvlJc w:val="left"/>
      <w:pPr>
        <w:ind w:left="720" w:hanging="360"/>
      </w:pPr>
    </w:lvl>
    <w:lvl w:ilvl="1" w:tplc="D33A0754">
      <w:start w:val="1"/>
      <w:numFmt w:val="bullet"/>
      <w:lvlText w:val="○"/>
      <w:lvlJc w:val="left"/>
      <w:pPr>
        <w:ind w:left="1440" w:hanging="360"/>
      </w:pPr>
    </w:lvl>
    <w:lvl w:ilvl="2" w:tplc="946EE9DA">
      <w:start w:val="1"/>
      <w:numFmt w:val="bullet"/>
      <w:lvlText w:val="■"/>
      <w:lvlJc w:val="left"/>
      <w:pPr>
        <w:ind w:left="2160" w:hanging="360"/>
      </w:pPr>
    </w:lvl>
    <w:lvl w:ilvl="3" w:tplc="F8407130">
      <w:start w:val="1"/>
      <w:numFmt w:val="bullet"/>
      <w:lvlText w:val="●"/>
      <w:lvlJc w:val="left"/>
      <w:pPr>
        <w:ind w:left="2880" w:hanging="360"/>
      </w:pPr>
    </w:lvl>
    <w:lvl w:ilvl="4" w:tplc="98F09B4E">
      <w:start w:val="1"/>
      <w:numFmt w:val="bullet"/>
      <w:lvlText w:val="○"/>
      <w:lvlJc w:val="left"/>
      <w:pPr>
        <w:ind w:left="3600" w:hanging="360"/>
      </w:pPr>
    </w:lvl>
    <w:lvl w:ilvl="5" w:tplc="810ADFDE">
      <w:start w:val="1"/>
      <w:numFmt w:val="bullet"/>
      <w:lvlText w:val="■"/>
      <w:lvlJc w:val="left"/>
      <w:pPr>
        <w:ind w:left="4320" w:hanging="360"/>
      </w:pPr>
    </w:lvl>
    <w:lvl w:ilvl="6" w:tplc="D794DC18">
      <w:start w:val="1"/>
      <w:numFmt w:val="bullet"/>
      <w:lvlText w:val="●"/>
      <w:lvlJc w:val="left"/>
      <w:pPr>
        <w:ind w:left="5040" w:hanging="360"/>
      </w:pPr>
    </w:lvl>
    <w:lvl w:ilvl="7" w:tplc="2F9011F4">
      <w:start w:val="1"/>
      <w:numFmt w:val="bullet"/>
      <w:lvlText w:val="●"/>
      <w:lvlJc w:val="left"/>
      <w:pPr>
        <w:ind w:left="5760" w:hanging="360"/>
      </w:pPr>
    </w:lvl>
    <w:lvl w:ilvl="8" w:tplc="1124F8BC">
      <w:start w:val="1"/>
      <w:numFmt w:val="bullet"/>
      <w:lvlText w:val="●"/>
      <w:lvlJc w:val="left"/>
      <w:pPr>
        <w:ind w:left="6480" w:hanging="360"/>
      </w:pPr>
    </w:lvl>
  </w:abstractNum>
  <w:num w:numId="1" w16cid:durableId="126531044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997"/>
    <w:rsid w:val="00417A39"/>
    <w:rsid w:val="00580997"/>
    <w:rsid w:val="007357A7"/>
    <w:rsid w:val="007F0082"/>
    <w:rsid w:val="00853CEC"/>
    <w:rsid w:val="009D3A55"/>
    <w:rsid w:val="00F8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C8611"/>
  <w15:docId w15:val="{3B8267C3-D250-4663-88F9-A9721448D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22222"/>
        <w:sz w:val="22"/>
        <w:szCs w:val="22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300" w:after="120"/>
      <w:outlineLvl w:val="0"/>
    </w:pPr>
    <w:rPr>
      <w:b/>
      <w:bCs/>
      <w:color w:val="1A3E6E"/>
      <w:sz w:val="28"/>
      <w:szCs w:val="28"/>
    </w:rPr>
  </w:style>
  <w:style w:type="paragraph" w:styleId="Heading2">
    <w:name w:val="heading 2"/>
    <w:uiPriority w:val="9"/>
    <w:semiHidden/>
    <w:unhideWhenUsed/>
    <w:qFormat/>
    <w:pPr>
      <w:spacing w:before="240" w:after="100"/>
      <w:outlineLvl w:val="1"/>
    </w:pPr>
    <w:rPr>
      <w:b/>
      <w:bCs/>
      <w:color w:val="1A3E6E"/>
      <w:sz w:val="24"/>
      <w:szCs w:val="24"/>
    </w:rPr>
  </w:style>
  <w:style w:type="paragraph" w:styleId="Heading3">
    <w:name w:val="heading 3"/>
    <w:uiPriority w:val="9"/>
    <w:semiHidden/>
    <w:unhideWhenUsed/>
    <w:qFormat/>
    <w:pPr>
      <w:spacing w:before="180" w:after="80"/>
      <w:outlineLvl w:val="2"/>
    </w:pPr>
    <w:rPr>
      <w:b/>
      <w:bCs/>
      <w:color w:val="2E6DA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1625C741D8F3498A71FF6B42F5F5FE" ma:contentTypeVersion="15" ma:contentTypeDescription="Create a new document." ma:contentTypeScope="" ma:versionID="6fa7c69a361f08f2cd4cb9ec9a8594c8">
  <xsd:schema xmlns:xsd="http://www.w3.org/2001/XMLSchema" xmlns:xs="http://www.w3.org/2001/XMLSchema" xmlns:p="http://schemas.microsoft.com/office/2006/metadata/properties" xmlns:ns2="d1fab2a1-0e85-445a-83c7-de214ea5897f" xmlns:ns3="ddab1a16-c6ff-444b-b718-4eedd580cbd4" targetNamespace="http://schemas.microsoft.com/office/2006/metadata/properties" ma:root="true" ma:fieldsID="ec1095f7c15241b69166fb045e481512" ns2:_="" ns3:_="">
    <xsd:import namespace="d1fab2a1-0e85-445a-83c7-de214ea5897f"/>
    <xsd:import namespace="ddab1a16-c6ff-444b-b718-4eedd580cb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ab2a1-0e85-445a-83c7-de214ea589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0c149374-6edc-42e0-82c3-af76cea61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b1a16-c6ff-444b-b718-4eedd580cbd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c17cc30-8319-4a66-bce5-8e306624b133}" ma:internalName="TaxCatchAll" ma:showField="CatchAllData" ma:web="ddab1a16-c6ff-444b-b718-4eedd580cb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ab1a16-c6ff-444b-b718-4eedd580cbd4" xsi:nil="true"/>
    <lcf76f155ced4ddcb4097134ff3c332f xmlns="d1fab2a1-0e85-445a-83c7-de214ea589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328306-8BA2-4FAA-AF16-98D59B186E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3799E1-9F26-46CE-9D8D-F9B732FEB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ab2a1-0e85-445a-83c7-de214ea5897f"/>
    <ds:schemaRef ds:uri="ddab1a16-c6ff-444b-b718-4eedd580cb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3D84EE-8477-490C-884C-C4E3CD01F0AF}">
  <ds:schemaRefs>
    <ds:schemaRef ds:uri="http://schemas.microsoft.com/office/2006/metadata/properties"/>
    <ds:schemaRef ds:uri="http://schemas.microsoft.com/office/infopath/2007/PartnerControls"/>
    <ds:schemaRef ds:uri="ddab1a16-c6ff-444b-b718-4eedd580cbd4"/>
    <ds:schemaRef ds:uri="d1fab2a1-0e85-445a-83c7-de214ea589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Nella Susilani</cp:lastModifiedBy>
  <cp:revision>2</cp:revision>
  <dcterms:created xsi:type="dcterms:W3CDTF">2026-08-06T03:11:00Z</dcterms:created>
  <dcterms:modified xsi:type="dcterms:W3CDTF">2026-08-06T03:11:00Z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0x010100E41625C741D8F3498A71FF6B42F5F5FE</vt:lpwstr>
  </property>
</Properties>
</file>